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5B" w:rsidRPr="004F596B" w:rsidRDefault="0019759E">
      <w:pPr>
        <w:rPr>
          <w:lang w:val="es-AR"/>
        </w:rPr>
      </w:pPr>
      <w:r>
        <w:rPr>
          <w:lang w:val="es-ES"/>
        </w:rPr>
        <w:t xml:space="preserve">Programa de: </w:t>
      </w:r>
      <w:r w:rsidR="004F596B" w:rsidRPr="004F596B">
        <w:rPr>
          <w:lang w:val="es-AR"/>
        </w:rPr>
        <w:t>EJERCICIO LEGAL DE LA PROFESIÓN</w:t>
      </w:r>
      <w:bookmarkStart w:id="0" w:name="_GoBack"/>
      <w:bookmarkEnd w:id="0"/>
    </w:p>
    <w:p w:rsidR="0019759E" w:rsidRDefault="00664398">
      <w:pPr>
        <w:rPr>
          <w:lang w:val="es-ES"/>
        </w:rPr>
      </w:pPr>
      <w:r>
        <w:rPr>
          <w:lang w:val="es-ES"/>
        </w:rPr>
        <w:t>Curso: 7</w:t>
      </w:r>
      <w:r w:rsidR="008163E1">
        <w:rPr>
          <w:lang w:val="es-ES"/>
        </w:rPr>
        <w:t>°1° MMO</w:t>
      </w:r>
    </w:p>
    <w:p w:rsidR="0019759E" w:rsidRDefault="0019759E">
      <w:pPr>
        <w:rPr>
          <w:lang w:val="es-ES"/>
        </w:rPr>
      </w:pPr>
      <w:r>
        <w:rPr>
          <w:lang w:val="es-ES"/>
        </w:rPr>
        <w:t xml:space="preserve">Contenidos: </w:t>
      </w:r>
    </w:p>
    <w:p w:rsidR="00D26242" w:rsidRDefault="004F596B" w:rsidP="0052167C">
      <w:pPr>
        <w:rPr>
          <w:lang w:val="es-AR"/>
        </w:rPr>
      </w:pPr>
      <w:r w:rsidRPr="004F596B">
        <w:rPr>
          <w:lang w:val="es-AR"/>
        </w:rPr>
        <w:t xml:space="preserve">Legales: Interpretación de derechos y obligaciones relacionadas con el peritaje, el arbitraje y las tasaciones. Comprensión del marco legal involucrado. Derecho Civil, Penal y Comercial. Restricciones al dominio. Propiedad horizontal, ley 13.512 Seguros. Sociedades. Registro público de comercio. Medianería. Derecho del trabajo. Responsabilidad civil y penal del Proyectista, el Director de Obra, del Constructor y del Comitente. Interpretación de derechos y obligaciones relacionadas la comercialización de materiales y productos de obras edilicias. Ley de Patentes. Ley de Propiedad Intelectual. Profesiones reguladas por el Estado (cuyo ejercicio pudiere poner en riesgo de modo directo la salud, la seguridad, los derechos o los bienes de los habitantes). Habilitaciones (incumbencias) Consejos Profesionales y Colegios Profesionales Ley Nº 22.250 - Estatuto de la Industria de la Construcción. Normas reglamentarias. El IERIC como Autoridad de Aplicación. Procedimiento de Comprobación y Juzgamiento de las Infracciones laborales. Convenio colectivo de la industria de la construcción. Técnicas para realizar peritajes, tasaciones y arbitrajes. Restricciones al dominio. Concepto de la legislación de la construcción. Sociedades: civiles y comerciales. Forma y prueba. Objeto. Administración. Derechos y obligaciones de los socios. Tipos de sociedades. Sociedades de hecho y de derecho. Sociedades colectivas, de Responsabilidad Limitada, Anónimas, en Comandita por Acciones, etc. Registro público de comercio. La locación de obra. Diferencia con otros contratos. Tipos de contratos según los sistemas de ejecución: ajuste alzado, coste y costas, por unidad simple, por unidad de medida, </w:t>
      </w:r>
      <w:proofErr w:type="spellStart"/>
      <w:r w:rsidRPr="004F596B">
        <w:rPr>
          <w:lang w:val="es-AR"/>
        </w:rPr>
        <w:t>etc</w:t>
      </w:r>
      <w:proofErr w:type="spellEnd"/>
      <w:r w:rsidRPr="004F596B">
        <w:rPr>
          <w:lang w:val="es-AR"/>
        </w:rPr>
        <w:t>, Ventajas e inconvenientes. Los planos generales y de detalle, planillas, pliegos de condiciones especiales, de condiciones generales y de especificaciones técnicas. Las especificaciones</w:t>
      </w:r>
      <w:r w:rsidRPr="004F596B">
        <w:rPr>
          <w:lang w:val="es-AR"/>
        </w:rPr>
        <w:t xml:space="preserve"> </w:t>
      </w:r>
      <w:r w:rsidRPr="004F596B">
        <w:rPr>
          <w:lang w:val="es-AR"/>
        </w:rPr>
        <w:t>generales en el contrato de construcción: objeto del contrato. Construcción y vigilancia de las obras, condiciones de pago, trabajos imprevistos, trabajos adicionales, modificaciones del proyecto. Rescisión del contrato. Derecho de retención. Recepción provisoria y definitiva de uno obra. El fondo de reparo. Régimen de las ART, su aplicación en la industria de la construcción. Responsabilidad sobre los trabajadores, sobre terceros y sob</w:t>
      </w:r>
      <w:r w:rsidRPr="004F596B">
        <w:rPr>
          <w:lang w:val="es-AR"/>
        </w:rPr>
        <w:t>re construcciones linderas</w:t>
      </w:r>
      <w:r w:rsidR="0052167C" w:rsidRPr="005304B5">
        <w:rPr>
          <w:lang w:val="es-AR"/>
        </w:rPr>
        <w:t>.</w:t>
      </w:r>
    </w:p>
    <w:p w:rsidR="00D26242" w:rsidRDefault="00D26242" w:rsidP="00D26242">
      <w:pPr>
        <w:rPr>
          <w:lang w:val="es-AR"/>
        </w:rPr>
      </w:pPr>
      <w:r w:rsidRPr="00D26242">
        <w:rPr>
          <w:lang w:val="es-AR"/>
        </w:rPr>
        <w:t>C</w:t>
      </w:r>
      <w:r>
        <w:rPr>
          <w:lang w:val="es-AR"/>
        </w:rPr>
        <w:t xml:space="preserve">riterios de evaluación </w:t>
      </w:r>
    </w:p>
    <w:p w:rsidR="0019759E" w:rsidRPr="00D26242" w:rsidRDefault="0019759E" w:rsidP="00D26242">
      <w:pPr>
        <w:pStyle w:val="Prrafodelista"/>
        <w:numPr>
          <w:ilvl w:val="0"/>
          <w:numId w:val="1"/>
        </w:numPr>
        <w:rPr>
          <w:lang w:val="es-AR"/>
        </w:rPr>
      </w:pPr>
      <w:r w:rsidRPr="00D26242">
        <w:rPr>
          <w:lang w:val="es-AR"/>
        </w:rPr>
        <w:t>Examen escrito, presencial e individual.</w:t>
      </w:r>
    </w:p>
    <w:p w:rsidR="0019759E" w:rsidRDefault="0019759E" w:rsidP="0019759E">
      <w:pPr>
        <w:pStyle w:val="Prrafodelista"/>
        <w:numPr>
          <w:ilvl w:val="0"/>
          <w:numId w:val="1"/>
        </w:numPr>
        <w:rPr>
          <w:lang w:val="es-AR"/>
        </w:rPr>
      </w:pPr>
      <w:r w:rsidRPr="0019759E">
        <w:rPr>
          <w:lang w:val="es-AR"/>
        </w:rPr>
        <w:t>Resolución de cuatro de las cinco problemáticas vinculadas a los contenidos</w:t>
      </w:r>
      <w:r>
        <w:rPr>
          <w:lang w:val="es-AR"/>
        </w:rPr>
        <w:t>, con fundamentación</w:t>
      </w:r>
      <w:r w:rsidRPr="0019759E">
        <w:rPr>
          <w:lang w:val="es-AR"/>
        </w:rPr>
        <w:t>.</w:t>
      </w:r>
    </w:p>
    <w:p w:rsidR="0019759E" w:rsidRDefault="0019759E" w:rsidP="0019759E">
      <w:pPr>
        <w:pStyle w:val="Prrafodelista"/>
        <w:numPr>
          <w:ilvl w:val="0"/>
          <w:numId w:val="1"/>
        </w:numPr>
        <w:rPr>
          <w:lang w:val="es-AR"/>
        </w:rPr>
      </w:pPr>
      <w:r>
        <w:rPr>
          <w:lang w:val="es-AR"/>
        </w:rPr>
        <w:t>Manejo del lenguaje técnica especifico.</w:t>
      </w:r>
    </w:p>
    <w:p w:rsidR="0019759E" w:rsidRDefault="0019759E" w:rsidP="0019759E">
      <w:pPr>
        <w:pStyle w:val="Prrafodelista"/>
        <w:numPr>
          <w:ilvl w:val="0"/>
          <w:numId w:val="1"/>
        </w:numPr>
        <w:rPr>
          <w:lang w:val="es-AR"/>
        </w:rPr>
      </w:pPr>
      <w:r>
        <w:rPr>
          <w:lang w:val="es-AR"/>
        </w:rPr>
        <w:t xml:space="preserve">Presentar </w:t>
      </w:r>
      <w:r w:rsidR="00D26242">
        <w:rPr>
          <w:lang w:val="es-AR"/>
        </w:rPr>
        <w:t>los trabajos</w:t>
      </w:r>
      <w:r>
        <w:rPr>
          <w:lang w:val="es-AR"/>
        </w:rPr>
        <w:t xml:space="preserve"> realizados.</w:t>
      </w:r>
    </w:p>
    <w:p w:rsidR="0019759E" w:rsidRPr="0019759E" w:rsidRDefault="0019759E" w:rsidP="0019759E">
      <w:pPr>
        <w:pStyle w:val="Prrafodelista"/>
        <w:numPr>
          <w:ilvl w:val="0"/>
          <w:numId w:val="1"/>
        </w:numPr>
        <w:rPr>
          <w:lang w:val="es-AR"/>
        </w:rPr>
      </w:pPr>
      <w:r>
        <w:rPr>
          <w:lang w:val="es-AR"/>
        </w:rPr>
        <w:t xml:space="preserve">Capacidad de explicar los procedimientos realizados. </w:t>
      </w:r>
    </w:p>
    <w:p w:rsidR="0019759E" w:rsidRPr="0019759E" w:rsidRDefault="0019759E" w:rsidP="0019759E">
      <w:pPr>
        <w:rPr>
          <w:lang w:val="es-AR"/>
        </w:rPr>
      </w:pPr>
    </w:p>
    <w:sectPr w:rsidR="0019759E" w:rsidRPr="0019759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906" w:rsidRDefault="005F0906" w:rsidP="0019759E">
      <w:pPr>
        <w:spacing w:after="0" w:line="240" w:lineRule="auto"/>
      </w:pPr>
      <w:r>
        <w:separator/>
      </w:r>
    </w:p>
  </w:endnote>
  <w:endnote w:type="continuationSeparator" w:id="0">
    <w:p w:rsidR="005F0906" w:rsidRDefault="005F0906" w:rsidP="0019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906" w:rsidRDefault="005F0906" w:rsidP="0019759E">
      <w:pPr>
        <w:spacing w:after="0" w:line="240" w:lineRule="auto"/>
      </w:pPr>
      <w:r>
        <w:separator/>
      </w:r>
    </w:p>
  </w:footnote>
  <w:footnote w:type="continuationSeparator" w:id="0">
    <w:p w:rsidR="005F0906" w:rsidRDefault="005F0906" w:rsidP="00197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9E" w:rsidRDefault="0019759E" w:rsidP="0019759E">
    <w:pPr>
      <w:spacing w:after="0"/>
      <w:jc w:val="center"/>
      <w:rPr>
        <w:rFonts w:ascii="Tahoma" w:hAnsi="Tahoma"/>
        <w:lang w:val="es-AR"/>
      </w:rPr>
    </w:pPr>
    <w:r>
      <w:rPr>
        <w:noProof/>
      </w:rPr>
      <w:drawing>
        <wp:anchor distT="0" distB="0" distL="114300" distR="114300" simplePos="0" relativeHeight="251659264" behindDoc="1" locked="0" layoutInCell="1" allowOverlap="1" wp14:anchorId="2476002A" wp14:editId="5DF11A02">
          <wp:simplePos x="0" y="0"/>
          <wp:positionH relativeFrom="margin">
            <wp:posOffset>219075</wp:posOffset>
          </wp:positionH>
          <wp:positionV relativeFrom="paragraph">
            <wp:posOffset>140335</wp:posOffset>
          </wp:positionV>
          <wp:extent cx="866775" cy="1048385"/>
          <wp:effectExtent l="0" t="0" r="9525" b="0"/>
          <wp:wrapTight wrapText="bothSides">
            <wp:wrapPolygon edited="0">
              <wp:start x="0" y="0"/>
              <wp:lineTo x="0" y="21194"/>
              <wp:lineTo x="21363" y="21194"/>
              <wp:lineTo x="21363"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srcRect/>
                  <a:stretch>
                    <a:fillRect/>
                  </a:stretch>
                </pic:blipFill>
                <pic:spPr bwMode="auto">
                  <a:xfrm>
                    <a:off x="0" y="0"/>
                    <a:ext cx="866775" cy="1048385"/>
                  </a:xfrm>
                  <a:prstGeom prst="rect">
                    <a:avLst/>
                  </a:prstGeom>
                  <a:noFill/>
                  <a:ln w="9525">
                    <a:noFill/>
                    <a:miter lim="800000"/>
                    <a:headEnd/>
                    <a:tailEnd/>
                  </a:ln>
                </pic:spPr>
              </pic:pic>
            </a:graphicData>
          </a:graphic>
        </wp:anchor>
      </w:drawing>
    </w:r>
    <w:r>
      <w:rPr>
        <w:rFonts w:ascii="Tahoma" w:hAnsi="Tahoma"/>
        <w:lang w:val="es-AR"/>
      </w:rPr>
      <w:t>Escuela de Educación Secundaria Técnica N° 1</w:t>
    </w:r>
  </w:p>
  <w:p w:rsidR="0019759E" w:rsidRDefault="0019759E" w:rsidP="0019759E">
    <w:pPr>
      <w:spacing w:after="0"/>
      <w:jc w:val="center"/>
      <w:rPr>
        <w:rFonts w:ascii="Tahoma" w:hAnsi="Tahoma"/>
        <w:lang w:val="es-AR"/>
      </w:rPr>
    </w:pPr>
    <w:r>
      <w:rPr>
        <w:rFonts w:ascii="Tahoma" w:hAnsi="Tahoma"/>
        <w:lang w:val="es-AR"/>
      </w:rPr>
      <w:t>El Talar    Tigre</w:t>
    </w:r>
  </w:p>
  <w:p w:rsidR="0019759E" w:rsidRDefault="0019759E" w:rsidP="0019759E">
    <w:pPr>
      <w:spacing w:after="0"/>
      <w:jc w:val="center"/>
      <w:rPr>
        <w:rFonts w:ascii="Tahoma" w:hAnsi="Tahoma"/>
        <w:lang w:val="es-AR"/>
      </w:rPr>
    </w:pPr>
    <w:r>
      <w:rPr>
        <w:rFonts w:ascii="Tahoma" w:hAnsi="Tahoma"/>
        <w:lang w:val="es-AR"/>
      </w:rPr>
      <w:t>Dirección General de Cultura y Educación</w:t>
    </w:r>
  </w:p>
  <w:p w:rsidR="0019759E" w:rsidRDefault="0019759E" w:rsidP="0019759E">
    <w:pPr>
      <w:spacing w:after="0"/>
      <w:jc w:val="center"/>
      <w:rPr>
        <w:rFonts w:ascii="Tahoma" w:hAnsi="Tahoma"/>
        <w:lang w:val="es-AR"/>
      </w:rPr>
    </w:pPr>
    <w:r>
      <w:rPr>
        <w:rFonts w:ascii="Tahoma" w:hAnsi="Tahoma"/>
        <w:lang w:val="es-AR"/>
      </w:rPr>
      <w:t>Provincia de Buenos Aires</w:t>
    </w:r>
  </w:p>
  <w:p w:rsidR="0019759E" w:rsidRDefault="0019759E" w:rsidP="0019759E">
    <w:pPr>
      <w:pStyle w:val="Piedepgina"/>
      <w:jc w:val="center"/>
      <w:rPr>
        <w:rFonts w:ascii="Tahoma" w:hAnsi="Tahoma" w:cs="Tahoma"/>
        <w:lang w:val="es-ES_tradnl"/>
      </w:rPr>
    </w:pPr>
    <w:r>
      <w:rPr>
        <w:rFonts w:ascii="Tahoma" w:hAnsi="Tahoma" w:cs="Tahoma"/>
        <w:lang w:val="es-ES_tradnl"/>
      </w:rPr>
      <w:t>Dirección: Kennedy 870 y Defensa. Ciudad de El Talar. TIGRE</w:t>
    </w:r>
  </w:p>
  <w:p w:rsidR="0019759E" w:rsidRDefault="0019759E" w:rsidP="0019759E">
    <w:pPr>
      <w:pStyle w:val="Piedepgina"/>
      <w:jc w:val="center"/>
      <w:rPr>
        <w:rFonts w:ascii="Tahoma" w:hAnsi="Tahoma" w:cs="Tahoma"/>
        <w:lang w:val="es-ES_tradnl"/>
      </w:rPr>
    </w:pPr>
    <w:r>
      <w:rPr>
        <w:rFonts w:ascii="Tahoma" w:hAnsi="Tahoma" w:cs="Tahoma"/>
        <w:lang w:val="es-ES_tradnl"/>
      </w:rPr>
      <w:t xml:space="preserve">Tel. / Fax: 011-4740-6894 e-mail: </w:t>
    </w:r>
    <w:hyperlink r:id="rId2" w:history="1">
      <w:r w:rsidRPr="007D2C8D">
        <w:rPr>
          <w:rStyle w:val="Hipervnculo"/>
          <w:rFonts w:ascii="Tahoma" w:hAnsi="Tahoma" w:cs="Tahoma"/>
          <w:lang w:val="es-ES_tradnl"/>
        </w:rPr>
        <w:t>eest1tigre@abc.gob.ar</w:t>
      </w:r>
    </w:hyperlink>
    <w:hyperlink r:id="rId3" w:history="1"/>
  </w:p>
  <w:p w:rsidR="0019759E" w:rsidRPr="0019759E" w:rsidRDefault="0019759E" w:rsidP="0019759E">
    <w:pPr>
      <w:pStyle w:val="Encabezado"/>
      <w:rPr>
        <w:lang w:val="es-ES_tradn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4100A5"/>
    <w:multiLevelType w:val="hybridMultilevel"/>
    <w:tmpl w:val="CD8AC7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59E"/>
    <w:rsid w:val="00075DC5"/>
    <w:rsid w:val="0019505B"/>
    <w:rsid w:val="0019759E"/>
    <w:rsid w:val="00351125"/>
    <w:rsid w:val="0038719C"/>
    <w:rsid w:val="003C0CE7"/>
    <w:rsid w:val="0042712D"/>
    <w:rsid w:val="004F596B"/>
    <w:rsid w:val="0052167C"/>
    <w:rsid w:val="005304B5"/>
    <w:rsid w:val="005F0906"/>
    <w:rsid w:val="006170CA"/>
    <w:rsid w:val="00664398"/>
    <w:rsid w:val="007C7A21"/>
    <w:rsid w:val="008163E1"/>
    <w:rsid w:val="009A1EF4"/>
    <w:rsid w:val="00AB7459"/>
    <w:rsid w:val="00AF08FE"/>
    <w:rsid w:val="00D26242"/>
    <w:rsid w:val="00E75790"/>
    <w:rsid w:val="00F12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6EC36"/>
  <w15:chartTrackingRefBased/>
  <w15:docId w15:val="{4D72D1E8-62FA-4035-9419-71EDAF5CC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759E"/>
    <w:pPr>
      <w:ind w:left="720"/>
      <w:contextualSpacing/>
    </w:pPr>
  </w:style>
  <w:style w:type="paragraph" w:styleId="Encabezado">
    <w:name w:val="header"/>
    <w:basedOn w:val="Normal"/>
    <w:link w:val="EncabezadoCar"/>
    <w:uiPriority w:val="99"/>
    <w:unhideWhenUsed/>
    <w:rsid w:val="001975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759E"/>
  </w:style>
  <w:style w:type="paragraph" w:styleId="Piedepgina">
    <w:name w:val="footer"/>
    <w:basedOn w:val="Normal"/>
    <w:link w:val="PiedepginaCar"/>
    <w:uiPriority w:val="99"/>
    <w:unhideWhenUsed/>
    <w:rsid w:val="001975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759E"/>
  </w:style>
  <w:style w:type="character" w:styleId="Hipervnculo">
    <w:name w:val="Hyperlink"/>
    <w:basedOn w:val="Fuentedeprrafopredeter"/>
    <w:rsid w:val="001975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escuelatecnica1tigre@gmail.com" TargetMode="External"/><Relationship Id="rId2" Type="http://schemas.openxmlformats.org/officeDocument/2006/relationships/hyperlink" Target="file:///C:\Users\pc\Desktop\eest1tigre@abc.gob.ar"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405</Words>
  <Characters>2315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dc:creator>
  <cp:keywords/>
  <dc:description/>
  <cp:lastModifiedBy>GERMAN</cp:lastModifiedBy>
  <cp:revision>2</cp:revision>
  <dcterms:created xsi:type="dcterms:W3CDTF">2023-09-23T12:59:00Z</dcterms:created>
  <dcterms:modified xsi:type="dcterms:W3CDTF">2023-09-23T12:59:00Z</dcterms:modified>
</cp:coreProperties>
</file>