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F4074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FF4074">
        <w:t xml:space="preserve">MECÁNICA Y MECANISMOS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FF4074">
        <w:rPr>
          <w:b/>
          <w:sz w:val="24"/>
          <w:szCs w:val="24"/>
        </w:rPr>
        <w:t xml:space="preserve"> 5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FF4074">
        <w:t>108</w:t>
      </w:r>
      <w:r w:rsidR="00FE7C80">
        <w:t xml:space="preserve"> horas reloj </w:t>
      </w:r>
    </w:p>
    <w:p w:rsidR="00FF4074" w:rsidRDefault="00FF4074" w:rsidP="00E833F1">
      <w:r>
        <w:t xml:space="preserve">Cinemática del Punto Material. Representación vectorial de la velocidad y la aceleración en el movimiento rectilíneo. Composición de velocidades y aceleraciones. Aceleraciones normal y tangencial. Movimientos. Dinámica del Punto Material. Leyes de Newton. Cantidad de movimiento. Trabajo y Energía. Trabajo de fuerzas constantes. Potencia. Energía cinética. Unidades. Energía potencial. Energía mecánica. Conservación de la energía mecánica. Operadores Mecánicos: Máquinas simples. Dinámica de Fluidos. Conceptos físicos básicos. Bombas. Tipos. Válvulas: clasificación. Tuberías y accesorios. Estudio de circuitos hidráulicos y neumáticos.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2024-05-21T13:48:00Z</dcterms:created>
  <dcterms:modified xsi:type="dcterms:W3CDTF">2024-05-21T13:48:00Z</dcterms:modified>
</cp:coreProperties>
</file>